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sz w:val="32"/>
          <w:szCs w:val="40"/>
        </w:rPr>
      </w:pPr>
      <w:r>
        <w:rPr>
          <w:rFonts w:hint="eastAsia" w:ascii="黑体" w:hAnsi="黑体" w:eastAsia="黑体" w:cs="仿宋"/>
          <w:sz w:val="32"/>
          <w:szCs w:val="40"/>
        </w:rPr>
        <w:t>附件</w:t>
      </w:r>
      <w:r>
        <w:rPr>
          <w:rFonts w:ascii="黑体" w:hAnsi="黑体" w:eastAsia="黑体" w:cs="仿宋"/>
          <w:sz w:val="32"/>
          <w:szCs w:val="40"/>
        </w:rPr>
        <w:t>4</w:t>
      </w:r>
    </w:p>
    <w:p>
      <w:pPr>
        <w:jc w:val="center"/>
        <w:rPr>
          <w:rFonts w:ascii="方正小标宋简体" w:hAnsi="仿宋" w:eastAsia="方正小标宋简体" w:cs="仿宋"/>
          <w:sz w:val="36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44"/>
        </w:rPr>
        <w:t>中国人民财产保险股份有限公司保险服务方案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——“好运保”群众体育运动短期保险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36"/>
        </w:rPr>
      </w:pPr>
    </w:p>
    <w:tbl>
      <w:tblPr>
        <w:tblStyle w:val="3"/>
        <w:tblW w:w="909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2250"/>
        <w:gridCol w:w="2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保障责任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标准版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1" w:firstLineChars="100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  <w:lang w:bidi="ar"/>
              </w:rPr>
              <w:t>升级版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意外伤害身故、残疾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飞机意外身故、残疾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50万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大巴意外身故、残疾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火车意外身故、残疾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轮船意外身故、残疾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意外医疗费用补偿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（给付比例100%，无门急诊限额）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3万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意外伤害住院津贴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（每次事故最高给付日数30天）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100元/天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200元/天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急性病医疗费用补偿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（给付比例100%，无门急诊限额）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5000元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突发疾病身故给付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猝死保险责任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意外骨折和脱臼给付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救护车费用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1000元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保险期间</w:t>
            </w:r>
          </w:p>
        </w:tc>
        <w:tc>
          <w:tcPr>
            <w:tcW w:w="5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342"/>
              </w:tabs>
              <w:jc w:val="left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  <w:t>提供比赛期间24小时全天候保障，包括往返行程。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（具体保险期间根据投保时间，以保单约定为准）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保险费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15元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BF1DE"/>
            <w:vAlign w:val="center"/>
          </w:tcPr>
          <w:p>
            <w:pPr>
              <w:widowControl/>
              <w:ind w:firstLine="210" w:firstLineChars="100"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25元</w:t>
            </w:r>
          </w:p>
        </w:tc>
      </w:tr>
    </w:tbl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投保咨询方式</w:t>
      </w:r>
    </w:p>
    <w:p>
      <w:pPr>
        <w:spacing w:line="360" w:lineRule="exact"/>
        <w:jc w:val="left"/>
        <w:rPr>
          <w:rFonts w:cs="微软雅黑" w:asciiTheme="minorEastAsia" w:hAnsiTheme="minorEastAsia"/>
          <w:color w:val="333333"/>
          <w:szCs w:val="21"/>
        </w:rPr>
      </w:pPr>
      <w:r>
        <w:rPr>
          <w:rFonts w:hint="eastAsia" w:cs="微软雅黑" w:asciiTheme="minorEastAsia" w:hAnsiTheme="minorEastAsia"/>
          <w:color w:val="333333"/>
          <w:szCs w:val="21"/>
        </w:rPr>
        <w:t>请扫描下方二维码添加企业微信或致电咨询</w:t>
      </w:r>
    </w:p>
    <w:tbl>
      <w:tblPr>
        <w:tblStyle w:val="5"/>
        <w:tblpPr w:leftFromText="180" w:rightFromText="180" w:vertAnchor="text" w:horzAnchor="page" w:tblpX="1601" w:tblpY="270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22"/>
        <w:gridCol w:w="1842"/>
        <w:gridCol w:w="2079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企业微信</w:t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仿宋"/>
                <w:b/>
                <w:bCs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李芳萌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中国人民财产保险股份有限公司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微软雅黑"/>
                <w:color w:val="333333"/>
                <w:sz w:val="18"/>
                <w:szCs w:val="18"/>
              </w:rPr>
              <w:t>010-84982988</w:t>
            </w: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/</w:t>
            </w:r>
          </w:p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13810297999</w:t>
            </w:r>
          </w:p>
        </w:tc>
        <w:tc>
          <w:tcPr>
            <w:tcW w:w="2079" w:type="dxa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102235</wp:posOffset>
                  </wp:positionV>
                  <wp:extent cx="632460" cy="662940"/>
                  <wp:effectExtent l="0" t="0" r="15240" b="3810"/>
                  <wp:wrapNone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"mailto:lifangmeng@beij.picc.com.cn" </w:instrText>
            </w:r>
            <w:r>
              <w:fldChar w:fldCharType="separate"/>
            </w:r>
            <w:r>
              <w:rPr>
                <w:rFonts w:ascii="宋体" w:hAnsi="宋体" w:eastAsia="宋体" w:cs="微软雅黑"/>
                <w:color w:val="333333"/>
                <w:sz w:val="18"/>
                <w:szCs w:val="18"/>
              </w:rPr>
              <w:t>lifangmeng@beij.picc.com.cn</w:t>
            </w:r>
            <w:r>
              <w:rPr>
                <w:rFonts w:ascii="宋体" w:hAnsi="宋体" w:eastAsia="宋体" w:cs="微软雅黑"/>
                <w:color w:val="333333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芮乐微</w:t>
            </w: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中国人民财产保险股份有限公司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333333"/>
                <w:sz w:val="18"/>
                <w:szCs w:val="18"/>
              </w:rPr>
            </w:pPr>
            <w:r>
              <w:rPr>
                <w:rFonts w:ascii="宋体" w:hAnsi="宋体" w:eastAsia="宋体" w:cs="微软雅黑"/>
                <w:color w:val="333333"/>
                <w:sz w:val="18"/>
                <w:szCs w:val="18"/>
              </w:rPr>
              <w:t>010-84982988</w:t>
            </w: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/</w:t>
            </w:r>
          </w:p>
          <w:p>
            <w:pPr>
              <w:jc w:val="center"/>
              <w:rPr>
                <w:rFonts w:ascii="宋体" w:hAnsi="宋体" w:eastAsia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18601188863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eastAsia="宋体" w:cs="仿宋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drawing>
                <wp:inline distT="0" distB="0" distL="114300" distR="114300">
                  <wp:extent cx="580390" cy="594360"/>
                  <wp:effectExtent l="0" t="0" r="10160" b="15240"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65507" t="62760" r="9009" b="25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34" cy="598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8" w:type="dxa"/>
            <w:vAlign w:val="center"/>
          </w:tcPr>
          <w:p>
            <w:pPr>
              <w:jc w:val="center"/>
              <w:rPr>
                <w:rFonts w:ascii="宋体" w:hAnsi="宋体" w:eastAsia="宋体" w:cs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color w:val="333333"/>
                <w:sz w:val="18"/>
                <w:szCs w:val="18"/>
              </w:rPr>
              <w:t>ruilewei@picc.comn.cn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</w:rPr>
      </w:pPr>
    </w:p>
    <w:p>
      <w:pPr>
        <w:jc w:val="center"/>
        <w:rPr>
          <w:rFonts w:ascii="宋体" w:hAnsi="宋体" w:eastAsia="宋体" w:cs="宋体"/>
          <w:sz w:val="24"/>
        </w:rPr>
      </w:pPr>
    </w:p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电子保单及电子发票获取路径</w:t>
      </w:r>
    </w:p>
    <w:p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关注中国人保财险公众号，点击右下角“我的”——“我的保单”，可查询电子保单及电子发票。</w:t>
      </w:r>
    </w:p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全国24小时服务专线——95518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“95518”24小时保险服务专线电话，为客户提供保险咨询、报案和投诉等多形式、多层次、多功能、宽领域的服务功能。投保人/被保险人无论何时何地，都可以通过该专线电话，获得我公司及时的保险咨询、报案、投诉等各项服务。</w:t>
      </w:r>
    </w:p>
    <w:p>
      <w:pPr>
        <w:keepNext/>
        <w:keepLines/>
        <w:adjustRightInd w:val="0"/>
        <w:snapToGrid w:val="0"/>
        <w:spacing w:before="240" w:after="120" w:line="500" w:lineRule="exact"/>
        <w:outlineLvl w:val="2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理赔流程</w:t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  <w:r>
        <w:rPr>
          <w:rFonts w:ascii="宋体" w:hAnsi="宋体" w:eastAsia="宋体" w:cs="宋体"/>
          <w:b/>
          <w:b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127635</wp:posOffset>
            </wp:positionV>
            <wp:extent cx="2816860" cy="3473450"/>
            <wp:effectExtent l="0" t="0" r="2540" b="12700"/>
            <wp:wrapNone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8515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jc w:val="center"/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宋体" w:hAnsi="宋体" w:eastAsia="宋体" w:cs="宋体"/>
          <w:sz w:val="24"/>
        </w:rPr>
      </w:pPr>
    </w:p>
    <w:p>
      <w:pPr>
        <w:pStyle w:val="2"/>
        <w:rPr>
          <w:lang w:val="en-US" w:bidi="ar-SA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7AC1265-B7E5-410C-BF5A-D80DD0E6BF7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C54066-4461-49E7-A316-562AD13C6B4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956DC0-1C9B-4A02-8A13-2D407F37CF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B88458F-B7D2-481B-BF86-1F8892B82BE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02B3AB0-6A1D-4863-955D-838BD89739B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3932FCE8-5531-46E9-89EE-B870232123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YzFmYjQzM2NlZTgzOWJiNjY3ZGY5MTA4Y2Y1NjMifQ=="/>
  </w:docVars>
  <w:rsids>
    <w:rsidRoot w:val="127219FB"/>
    <w:rsid w:val="1272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2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2023-04-04T02:03:00Z</dcterms:created>
  <dc:creator>let it go</dc:creator>
  <cp:lastModifiedBy>let it go</cp:lastModifiedBy>
  <dcterms:modified xsi:type="dcterms:W3CDTF">2023-04-04T02:03:26Z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74142E2D11A8474E9046212BEBE8F278_11</vt:lpwstr>
  </property>
</Properties>
</file>